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32"/>
          <w:szCs w:val="32"/>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2021年泰州市住房和城乡建设局下属事业单位公开招聘工作人员专业参考目录</w:t>
      </w:r>
    </w:p>
    <w:p>
      <w:pPr>
        <w:spacing w:line="240" w:lineRule="exact"/>
        <w:jc w:val="left"/>
        <w:rPr>
          <w:rFonts w:ascii="方正楷体_GBK" w:hAnsi="宋体" w:eastAsia="方正楷体_GBK"/>
          <w:sz w:val="18"/>
          <w:szCs w:val="18"/>
        </w:rPr>
      </w:pPr>
      <w:r>
        <w:rPr>
          <w:rFonts w:hint="eastAsia" w:ascii="方正楷体_GBK" w:hAnsi="宋体" w:eastAsia="方正楷体_GBK"/>
          <w:sz w:val="18"/>
          <w:szCs w:val="18"/>
        </w:rPr>
        <w:cr/>
      </w:r>
    </w:p>
    <w:tbl>
      <w:tblPr>
        <w:tblStyle w:val="5"/>
        <w:tblW w:w="8960"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738"/>
        <w:gridCol w:w="679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PrEx>
        <w:trPr>
          <w:trHeight w:val="2246" w:hRule="atLeast"/>
          <w:jc w:val="center"/>
        </w:trPr>
        <w:tc>
          <w:tcPr>
            <w:tcW w:w="429" w:type="dxa"/>
            <w:vAlign w:val="center"/>
          </w:tcPr>
          <w:p>
            <w:pPr>
              <w:jc w:val="center"/>
              <w:rPr>
                <w:rFonts w:ascii="黑体" w:eastAsia="黑体"/>
                <w:color w:val="000000"/>
                <w:szCs w:val="21"/>
              </w:rPr>
            </w:pPr>
            <w:r>
              <w:rPr>
                <w:rFonts w:hint="eastAsia" w:ascii="黑体" w:eastAsia="黑体"/>
                <w:color w:val="000000"/>
                <w:szCs w:val="21"/>
              </w:rPr>
              <w:t>1</w:t>
            </w:r>
          </w:p>
        </w:tc>
        <w:tc>
          <w:tcPr>
            <w:tcW w:w="1738" w:type="dxa"/>
            <w:vAlign w:val="center"/>
          </w:tcPr>
          <w:p>
            <w:pPr>
              <w:jc w:val="center"/>
              <w:rPr>
                <w:rFonts w:ascii="黑体" w:hAnsi="黑体" w:eastAsia="黑体" w:cs="宋体"/>
                <w:color w:val="000000"/>
                <w:szCs w:val="21"/>
              </w:rPr>
            </w:pPr>
            <w:r>
              <w:rPr>
                <w:rFonts w:hint="eastAsia" w:ascii="黑体" w:hAnsi="黑体" w:eastAsia="黑体"/>
                <w:color w:val="000000"/>
                <w:szCs w:val="21"/>
              </w:rPr>
              <w:t>法律类</w:t>
            </w:r>
          </w:p>
        </w:tc>
        <w:tc>
          <w:tcPr>
            <w:tcW w:w="6793" w:type="dxa"/>
            <w:vAlign w:val="center"/>
          </w:tcPr>
          <w:p>
            <w:pPr>
              <w:jc w:val="center"/>
              <w:rPr>
                <w:rFonts w:ascii="Verdana" w:hAnsi="Verdana" w:cs="宋体"/>
                <w:sz w:val="18"/>
                <w:szCs w:val="18"/>
              </w:rPr>
            </w:pPr>
            <w:r>
              <w:rPr>
                <w:rFonts w:hint="eastAsia"/>
                <w:sz w:val="18"/>
                <w:szCs w:val="18"/>
              </w:rPr>
              <w:t>法学理论，法律史，宪法学与行政法学，刑法学，民商法学（含：劳动法学、社会保障法学），诉讼法，诉讼法学，经济法学，环境与资源保护法学，国际法学（含：国际公法、国际私法、国际经济法），军事法学，法学，法律硕士，法律（法学），法律，法律（非法学），法律硕士（法学），法律硕士（非法学），知识产权法学，国际法，经济法，比较法学，知识产权，监狱学，律师，知识产权法，民商法，法学（法务会计），海商法学，司法助理，法律文秘，司法警务，法律事务，书记官，刑事执行，民事执行，行政执行，刑事侦查技术，司法鉴定技术，安全防范技术，司法信息技术，司法信息安全，经济法律事务，海关国际法律条约与公约，检查事务，法律服务管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79" w:hRule="atLeast"/>
          <w:jc w:val="center"/>
        </w:trPr>
        <w:tc>
          <w:tcPr>
            <w:tcW w:w="429" w:type="dxa"/>
            <w:vAlign w:val="center"/>
          </w:tcPr>
          <w:p>
            <w:pPr>
              <w:spacing w:line="280" w:lineRule="exact"/>
              <w:jc w:val="center"/>
              <w:rPr>
                <w:rFonts w:ascii="黑体" w:eastAsia="黑体"/>
                <w:color w:val="000000"/>
                <w:szCs w:val="21"/>
              </w:rPr>
            </w:pPr>
            <w:r>
              <w:rPr>
                <w:rFonts w:hint="eastAsia" w:ascii="黑体" w:eastAsia="黑体"/>
                <w:color w:val="000000"/>
                <w:szCs w:val="21"/>
              </w:rPr>
              <w:t>2</w:t>
            </w:r>
          </w:p>
        </w:tc>
        <w:tc>
          <w:tcPr>
            <w:tcW w:w="1738" w:type="dxa"/>
            <w:vAlign w:val="center"/>
          </w:tcPr>
          <w:p>
            <w:pPr>
              <w:spacing w:line="280" w:lineRule="exact"/>
              <w:jc w:val="center"/>
              <w:rPr>
                <w:rFonts w:ascii="黑体" w:eastAsia="黑体"/>
                <w:color w:val="000000"/>
                <w:szCs w:val="21"/>
              </w:rPr>
            </w:pPr>
            <w:r>
              <w:rPr>
                <w:rFonts w:hint="eastAsia" w:ascii="黑体" w:eastAsia="黑体"/>
                <w:color w:val="000000"/>
                <w:szCs w:val="21"/>
              </w:rPr>
              <w:t>建筑工程类</w:t>
            </w:r>
          </w:p>
        </w:tc>
        <w:tc>
          <w:tcPr>
            <w:tcW w:w="6793" w:type="dxa"/>
            <w:vAlign w:val="center"/>
          </w:tcPr>
          <w:p>
            <w:pPr>
              <w:jc w:val="left"/>
              <w:rPr>
                <w:rFonts w:ascii="宋体" w:hAnsi="宋体"/>
                <w:sz w:val="18"/>
                <w:szCs w:val="18"/>
              </w:rPr>
            </w:pPr>
            <w:r>
              <w:rPr>
                <w:rFonts w:hint="eastAsia" w:ascii="宋体" w:hAnsi="宋体"/>
                <w:sz w:val="18"/>
                <w:szCs w:val="18"/>
              </w:rPr>
              <w:t>建筑历史与理论，建筑设计及其理论，城乡规划学，城市规划与设计（含：风景园林规划与设计），建筑技术科学，岩土工程，结构工程，市政工程，工程力学，供热、供燃气、通风及空调工程，防灾减灾工程及防护工程，桥梁与隧道工程，城市规划，风景园林，风</w:t>
            </w:r>
            <w:bookmarkStart w:id="0" w:name="_GoBack"/>
            <w:bookmarkEnd w:id="0"/>
            <w:r>
              <w:rPr>
                <w:rFonts w:hint="eastAsia" w:ascii="宋体" w:hAnsi="宋体"/>
                <w:sz w:val="18"/>
                <w:szCs w:val="18"/>
              </w:rPr>
              <w:t>景园林学，建筑学，建筑与土木工程，土木工程，土木水利，工程管理，项目管理，建筑工程，建筑环境与设备工程，环境设计，给水排水工程，城市地下空间工程，城市规划，历史建筑保护工程，景观建筑设计，水务工程，建筑设施智能技术，给排水科学与工程，建筑电气与智能化，景观学，园林，道路桥梁与渡河工程，工程力学，工程结构分析，建筑环境与能源应用工程，标准化工程，质量管理工程，工业与民用建筑，给水排水，给排水工程，工民建，工程造价，工程造价管理，建筑设计技术，建筑装饰工程技术，中国古建筑工程技术，室内设计技术，环境艺术设计，景观设计，建筑室内设计，园林工程技术，城镇规划，城市管理与监察，建筑工程技术，地下工程与隧道工程技术，基础工程技术，建筑设备工程技术，供热通风与空调工程技术，建筑电气工程技术，楼宇智能化工程技术，建筑经济管理，工程监理，市政工程技术，城市燃气工程技术，给排水工程技术，水工业技术，消防工程技术，房地产经营与估价，土木工程检测技术，工业设备安装工程技术，供热通风与卫生工程技术，机电安装工程，工程质量监督与管理，建筑水电技术，电力工程管理，建筑工程项目管理，物业管理，物业设施管理，建筑工程管理，建筑动画设计与制作，建筑钢结构工程技术，混凝土构件工程技术，光伏建筑一体化技术与应用，盾构施工技术，高尔夫球场建造与维护，家具卖场设计与管理，园林建筑，高尔夫场地管理，建筑工程质量与安全技术管理，国际工程造价，给排水与环境工程技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07" w:hRule="atLeast"/>
          <w:jc w:val="center"/>
        </w:trPr>
        <w:tc>
          <w:tcPr>
            <w:tcW w:w="429" w:type="dxa"/>
            <w:vAlign w:val="center"/>
          </w:tcPr>
          <w:p>
            <w:pPr>
              <w:spacing w:line="240" w:lineRule="exact"/>
              <w:jc w:val="center"/>
              <w:rPr>
                <w:rFonts w:ascii="黑体" w:eastAsia="黑体"/>
                <w:color w:val="000000"/>
                <w:szCs w:val="21"/>
              </w:rPr>
            </w:pPr>
            <w:r>
              <w:rPr>
                <w:rFonts w:hint="eastAsia" w:ascii="黑体" w:eastAsia="黑体"/>
                <w:color w:val="000000"/>
                <w:szCs w:val="21"/>
              </w:rPr>
              <w:t>3</w:t>
            </w:r>
          </w:p>
        </w:tc>
        <w:tc>
          <w:tcPr>
            <w:tcW w:w="1738" w:type="dxa"/>
            <w:vAlign w:val="center"/>
          </w:tcPr>
          <w:p>
            <w:pPr>
              <w:spacing w:line="240" w:lineRule="exact"/>
              <w:jc w:val="center"/>
              <w:rPr>
                <w:rFonts w:ascii="黑体" w:eastAsia="黑体"/>
                <w:color w:val="000000"/>
                <w:szCs w:val="21"/>
              </w:rPr>
            </w:pPr>
            <w:r>
              <w:rPr>
                <w:rFonts w:hint="eastAsia" w:ascii="黑体" w:eastAsia="黑体"/>
                <w:color w:val="000000"/>
                <w:szCs w:val="21"/>
              </w:rPr>
              <w:t>给水排水工程类</w:t>
            </w:r>
          </w:p>
        </w:tc>
        <w:tc>
          <w:tcPr>
            <w:tcW w:w="6793"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给水排水工程、给排水科学与工程、给水排水、给排水工程、市政工程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15" w:hRule="atLeast"/>
          <w:jc w:val="center"/>
        </w:trPr>
        <w:tc>
          <w:tcPr>
            <w:tcW w:w="429" w:type="dxa"/>
            <w:vAlign w:val="center"/>
          </w:tcPr>
          <w:p>
            <w:pPr>
              <w:spacing w:line="240" w:lineRule="exact"/>
              <w:jc w:val="center"/>
              <w:rPr>
                <w:rFonts w:ascii="黑体" w:eastAsia="黑体"/>
                <w:color w:val="000000"/>
                <w:szCs w:val="21"/>
              </w:rPr>
            </w:pPr>
            <w:r>
              <w:rPr>
                <w:rFonts w:hint="eastAsia" w:ascii="黑体" w:eastAsia="黑体"/>
                <w:color w:val="000000"/>
                <w:szCs w:val="21"/>
              </w:rPr>
              <w:t>4</w:t>
            </w:r>
          </w:p>
        </w:tc>
        <w:tc>
          <w:tcPr>
            <w:tcW w:w="1738" w:type="dxa"/>
            <w:vAlign w:val="center"/>
          </w:tcPr>
          <w:p>
            <w:pPr>
              <w:spacing w:line="240" w:lineRule="exact"/>
              <w:jc w:val="center"/>
              <w:rPr>
                <w:rFonts w:ascii="黑体" w:eastAsia="黑体"/>
                <w:color w:val="000000"/>
                <w:szCs w:val="21"/>
              </w:rPr>
            </w:pPr>
            <w:r>
              <w:rPr>
                <w:rFonts w:hint="eastAsia" w:ascii="黑体" w:eastAsia="黑体"/>
                <w:color w:val="000000"/>
                <w:szCs w:val="21"/>
              </w:rPr>
              <w:t>风景园林类</w:t>
            </w:r>
          </w:p>
        </w:tc>
        <w:tc>
          <w:tcPr>
            <w:tcW w:w="6793" w:type="dxa"/>
            <w:vAlign w:val="center"/>
          </w:tcPr>
          <w:p>
            <w:pPr>
              <w:spacing w:line="220" w:lineRule="exact"/>
              <w:jc w:val="left"/>
              <w:rPr>
                <w:rFonts w:ascii="宋体" w:hAnsi="宋体"/>
                <w:color w:val="000000"/>
                <w:sz w:val="18"/>
                <w:szCs w:val="18"/>
              </w:rPr>
            </w:pPr>
            <w:r>
              <w:rPr>
                <w:rFonts w:hint="eastAsia" w:ascii="宋体" w:hAnsi="宋体"/>
                <w:color w:val="000000"/>
                <w:sz w:val="18"/>
                <w:szCs w:val="18"/>
              </w:rPr>
              <w:t>风景园林、风景园林学、景观学、园林、景观建筑设计</w:t>
            </w:r>
          </w:p>
        </w:tc>
      </w:tr>
    </w:tbl>
    <w:p>
      <w:pPr>
        <w:tabs>
          <w:tab w:val="left" w:pos="1260"/>
          <w:tab w:val="left" w:pos="1620"/>
        </w:tabs>
        <w:spacing w:line="240" w:lineRule="exact"/>
        <w:ind w:right="-105" w:rightChars="-50"/>
      </w:pPr>
    </w:p>
    <w:p/>
    <w:sectPr>
      <w:headerReference r:id="rId3" w:type="default"/>
      <w:footerReference r:id="rId4" w:type="default"/>
      <w:footerReference r:id="rId5" w:type="even"/>
      <w:pgSz w:w="11906" w:h="16838"/>
      <w:pgMar w:top="1474" w:right="1474" w:bottom="1474" w:left="1474" w:header="1077"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1 -</w:t>
    </w:r>
    <w:r>
      <w:rPr>
        <w:rFonts w:hint="eastAsia" w:ascii="方正仿宋_GBK" w:eastAsia="方正仿宋_GBK"/>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2 -</w:t>
    </w:r>
    <w:r>
      <w:rPr>
        <w:rFonts w:hint="eastAsia" w:ascii="方正仿宋_GBK" w:eastAsia="方正仿宋_GBK"/>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57"/>
    <w:rsid w:val="00234A46"/>
    <w:rsid w:val="003B5BF1"/>
    <w:rsid w:val="00565C5C"/>
    <w:rsid w:val="005C5A3C"/>
    <w:rsid w:val="006A6AF9"/>
    <w:rsid w:val="006C3AB0"/>
    <w:rsid w:val="00756777"/>
    <w:rsid w:val="00A33378"/>
    <w:rsid w:val="00A54D00"/>
    <w:rsid w:val="00AC45ED"/>
    <w:rsid w:val="00B34221"/>
    <w:rsid w:val="00B4476F"/>
    <w:rsid w:val="00C54ED1"/>
    <w:rsid w:val="00CB7957"/>
    <w:rsid w:val="00E44557"/>
    <w:rsid w:val="00E85D44"/>
    <w:rsid w:val="23EC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uiPriority w:val="0"/>
    <w:rPr>
      <w:rFonts w:ascii="Times New Roman" w:hAnsi="Times New Roman" w:eastAsia="宋体" w:cs="Times New Roman"/>
      <w:sz w:val="18"/>
      <w:szCs w:val="18"/>
    </w:rPr>
  </w:style>
  <w:style w:type="character" w:customStyle="1" w:styleId="8">
    <w:name w:val="页脚 Char1"/>
    <w:basedOn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A0418D-5FAB-4B87-BB33-D8C135D394F9}">
  <ds:schemaRefs/>
</ds:datastoreItem>
</file>

<file path=docProps/app.xml><?xml version="1.0" encoding="utf-8"?>
<Properties xmlns="http://schemas.openxmlformats.org/officeDocument/2006/extended-properties" xmlns:vt="http://schemas.openxmlformats.org/officeDocument/2006/docPropsVTypes">
  <Template>Normal</Template>
  <Pages>1</Pages>
  <Words>184</Words>
  <Characters>1054</Characters>
  <Lines>8</Lines>
  <Paragraphs>2</Paragraphs>
  <TotalTime>0</TotalTime>
  <ScaleCrop>false</ScaleCrop>
  <LinksUpToDate>false</LinksUpToDate>
  <CharactersWithSpaces>1236</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2021-10-09T02:02:00Z</dcterms:created>
  <dc:creator>Windows 用户</dc:creator>
  <cp:lastModifiedBy>刘艳</cp:lastModifiedBy>
  <dcterms:modified xsi:type="dcterms:W3CDTF">2021-10-11T08:33:11Z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